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4272" w14:textId="278E528D" w:rsidR="001F46AB" w:rsidRDefault="00AA6248" w:rsidP="00AA6248">
      <w:pPr>
        <w:spacing w:after="280"/>
        <w:jc w:val="center"/>
        <w:rPr>
          <w:rFonts w:eastAsia="Calibri"/>
          <w:b/>
          <w:color w:val="FF0000"/>
        </w:rPr>
      </w:pPr>
      <w:r w:rsidRPr="00AA6248">
        <w:rPr>
          <w:rFonts w:eastAsia="Calibri"/>
          <w:b/>
        </w:rPr>
        <w:t>RESOLUCIÓN</w:t>
      </w:r>
      <w:r>
        <w:rPr>
          <w:rFonts w:eastAsia="Calibri"/>
          <w:b/>
        </w:rPr>
        <w:t xml:space="preserve"> RECTORAL </w:t>
      </w:r>
      <w:r w:rsidRPr="00AA6248">
        <w:rPr>
          <w:rFonts w:eastAsia="Calibri"/>
          <w:b/>
        </w:rPr>
        <w:t>POR LA QUE SE PUBLICA LA</w:t>
      </w:r>
      <w:r>
        <w:rPr>
          <w:rFonts w:eastAsia="Calibri"/>
          <w:b/>
        </w:rPr>
        <w:t xml:space="preserve"> </w:t>
      </w:r>
      <w:r w:rsidR="00905797">
        <w:rPr>
          <w:rFonts w:eastAsia="Calibri"/>
          <w:b/>
        </w:rPr>
        <w:t>LISTA DEFINITIVA DE ADMITIDOS Y EXCLUIDOS A TRÁMITE</w:t>
      </w:r>
    </w:p>
    <w:p w14:paraId="2037BC99" w14:textId="77777777" w:rsidR="001F46AB" w:rsidRDefault="001F46AB">
      <w:pPr>
        <w:spacing w:after="0"/>
        <w:ind w:right="-283"/>
        <w:jc w:val="both"/>
      </w:pPr>
    </w:p>
    <w:p w14:paraId="154B015E" w14:textId="77777777" w:rsidR="001F46AB" w:rsidRDefault="00905797">
      <w:pPr>
        <w:spacing w:after="0"/>
        <w:ind w:right="-283"/>
        <w:jc w:val="both"/>
      </w:pPr>
      <w:r>
        <w:t xml:space="preserve">Vista la resolución rectoral </w:t>
      </w:r>
      <w:proofErr w:type="spellStart"/>
      <w:r>
        <w:t>nº</w:t>
      </w:r>
      <w:proofErr w:type="spellEnd"/>
      <w:r>
        <w:t xml:space="preserve"> </w:t>
      </w:r>
      <w:r>
        <w:rPr>
          <w:color w:val="FF0000"/>
        </w:rPr>
        <w:t>(indicar número de RR)</w:t>
      </w:r>
      <w:r>
        <w:t xml:space="preserve"> de fecha </w:t>
      </w:r>
      <w:r>
        <w:rPr>
          <w:color w:val="FF0000"/>
        </w:rPr>
        <w:t>(indicar fecha de la RR)</w:t>
      </w:r>
      <w:r>
        <w:t xml:space="preserve">, publicada en el DOGV el </w:t>
      </w:r>
      <w:r>
        <w:rPr>
          <w:color w:val="FF0000"/>
        </w:rPr>
        <w:t>(indicar fecha del DOGV)</w:t>
      </w:r>
      <w:r>
        <w:t xml:space="preserve">, mediante la que se convoca </w:t>
      </w:r>
      <w:r>
        <w:rPr>
          <w:color w:val="FF0000"/>
        </w:rPr>
        <w:t xml:space="preserve">(indicar título de la </w:t>
      </w:r>
      <w:proofErr w:type="gramStart"/>
      <w:r>
        <w:rPr>
          <w:color w:val="FF0000"/>
        </w:rPr>
        <w:t>subvención)</w:t>
      </w:r>
      <w:r>
        <w:rPr>
          <w:b/>
        </w:rPr>
        <w:t xml:space="preserve"> </w:t>
      </w:r>
      <w:r>
        <w:rPr>
          <w:rFonts w:eastAsia="Calibri"/>
          <w:sz w:val="24"/>
          <w:szCs w:val="24"/>
        </w:rPr>
        <w:t xml:space="preserve"> </w:t>
      </w:r>
      <w:r>
        <w:t>y</w:t>
      </w:r>
      <w:proofErr w:type="gramEnd"/>
      <w:r>
        <w:t xml:space="preserve"> código de subvención </w:t>
      </w:r>
      <w:r>
        <w:rPr>
          <w:color w:val="FF0000"/>
        </w:rPr>
        <w:t>(indicar código de subvención de la convocatoria)</w:t>
      </w:r>
      <w:r>
        <w:t>.</w:t>
      </w:r>
    </w:p>
    <w:p w14:paraId="79802712" w14:textId="77777777" w:rsidR="001F46AB" w:rsidRDefault="001F46AB">
      <w:pPr>
        <w:spacing w:after="0"/>
        <w:ind w:right="-283"/>
        <w:jc w:val="both"/>
      </w:pPr>
    </w:p>
    <w:p w14:paraId="131DC4D6" w14:textId="77777777" w:rsidR="001521A0" w:rsidRDefault="001521A0">
      <w:pPr>
        <w:spacing w:after="0"/>
        <w:ind w:right="-271"/>
        <w:jc w:val="both"/>
        <w:rPr>
          <w:rFonts w:eastAsia="Calibri"/>
        </w:rPr>
      </w:pPr>
      <w:r>
        <w:rPr>
          <w:rFonts w:eastAsia="Calibri"/>
        </w:rPr>
        <w:t xml:space="preserve">Visto </w:t>
      </w:r>
      <w:r>
        <w:rPr>
          <w:rFonts w:eastAsia="Calibri"/>
        </w:rPr>
        <w:t>el listado provisional de solicitudes admitidas y excluidas publicado el día</w:t>
      </w:r>
      <w:r w:rsidR="00905797">
        <w:rPr>
          <w:rFonts w:eastAsia="Calibri"/>
        </w:rPr>
        <w:t xml:space="preserve"> </w:t>
      </w:r>
      <w:r w:rsidR="00905797">
        <w:rPr>
          <w:color w:val="FF0000"/>
        </w:rPr>
        <w:t>(indicar fecha de publicación en el BOUMH)</w:t>
      </w:r>
      <w:r w:rsidR="00905797">
        <w:rPr>
          <w:rFonts w:eastAsia="Calibri"/>
        </w:rPr>
        <w:t>, y finalizado el plazo de 10 días hábiles concedido para la subsanación de solicitudes</w:t>
      </w:r>
      <w:r>
        <w:rPr>
          <w:rFonts w:eastAsia="Calibri"/>
        </w:rPr>
        <w:t>.</w:t>
      </w:r>
    </w:p>
    <w:p w14:paraId="583F244A" w14:textId="77777777" w:rsidR="001521A0" w:rsidRDefault="001521A0">
      <w:pPr>
        <w:spacing w:after="0"/>
        <w:ind w:right="-271"/>
        <w:jc w:val="both"/>
        <w:rPr>
          <w:rFonts w:eastAsia="Calibri"/>
        </w:rPr>
      </w:pPr>
    </w:p>
    <w:p w14:paraId="13C189C5" w14:textId="77777777" w:rsidR="008443D5" w:rsidRDefault="001521A0">
      <w:pPr>
        <w:spacing w:after="0"/>
        <w:ind w:right="-271"/>
        <w:jc w:val="both"/>
        <w:rPr>
          <w:rFonts w:eastAsia="Calibri"/>
        </w:rPr>
      </w:pPr>
      <w:r>
        <w:rPr>
          <w:rFonts w:eastAsia="Calibri"/>
        </w:rPr>
        <w:t>Vista la comprobación de</w:t>
      </w:r>
      <w:r w:rsidR="00905797">
        <w:rPr>
          <w:rFonts w:eastAsia="Calibri"/>
        </w:rPr>
        <w:t xml:space="preserve"> </w:t>
      </w:r>
      <w:r w:rsidR="00905797">
        <w:rPr>
          <w:color w:val="FF0000"/>
        </w:rPr>
        <w:t>(indicar el órgano responsable)</w:t>
      </w:r>
      <w:r>
        <w:rPr>
          <w:color w:val="FF0000"/>
        </w:rPr>
        <w:t xml:space="preserve"> </w:t>
      </w:r>
      <w:r w:rsidR="008443D5">
        <w:t>de</w:t>
      </w:r>
      <w:r w:rsidR="00905797">
        <w:t xml:space="preserve"> que los solicitantes cumplen los requisitos establecidos en las bases reguladoras y que consta la acreditación de que no incurren en las prohibiciones del artículo 13 de la Ley 38/2003, de 17 de noviembre, General de Subvenciones para el reconocimiento de la condición de beneficiario,</w:t>
      </w:r>
      <w:r w:rsidR="00905797">
        <w:rPr>
          <w:rFonts w:eastAsia="Calibri"/>
        </w:rPr>
        <w:t xml:space="preserve"> </w:t>
      </w:r>
    </w:p>
    <w:p w14:paraId="4467D905" w14:textId="68C89D62" w:rsidR="001F46AB" w:rsidRDefault="001F46AB">
      <w:pPr>
        <w:spacing w:after="0"/>
        <w:ind w:right="-271"/>
        <w:jc w:val="both"/>
        <w:rPr>
          <w:rFonts w:eastAsia="Calibri"/>
        </w:rPr>
      </w:pPr>
    </w:p>
    <w:p w14:paraId="38786D56" w14:textId="77777777" w:rsidR="008443D5" w:rsidRPr="003D0A2F" w:rsidRDefault="008443D5" w:rsidP="008443D5">
      <w:pPr>
        <w:spacing w:after="0"/>
        <w:ind w:right="-271"/>
        <w:jc w:val="center"/>
        <w:rPr>
          <w:rFonts w:eastAsia="Calibri"/>
          <w:b/>
          <w:bCs/>
        </w:rPr>
      </w:pPr>
      <w:r w:rsidRPr="003D0A2F">
        <w:rPr>
          <w:rFonts w:eastAsia="Calibri"/>
          <w:b/>
          <w:bCs/>
        </w:rPr>
        <w:t>RESUELVO</w:t>
      </w:r>
    </w:p>
    <w:p w14:paraId="5EFD7BD7" w14:textId="77777777" w:rsidR="001F46AB" w:rsidRDefault="001F46AB">
      <w:pPr>
        <w:spacing w:after="0"/>
        <w:ind w:right="-271"/>
        <w:jc w:val="both"/>
      </w:pPr>
    </w:p>
    <w:p w14:paraId="3D84DDF1" w14:textId="54E0D300" w:rsidR="001F46AB" w:rsidRDefault="008443D5">
      <w:pPr>
        <w:spacing w:after="0"/>
        <w:ind w:right="-271"/>
        <w:jc w:val="both"/>
      </w:pPr>
      <w:r w:rsidRPr="00BD0403">
        <w:rPr>
          <w:b/>
          <w:bCs/>
        </w:rPr>
        <w:t>ÚNICO</w:t>
      </w:r>
      <w:r>
        <w:t xml:space="preserve">. </w:t>
      </w:r>
      <w:r w:rsidR="00905797">
        <w:t>P</w:t>
      </w:r>
      <w:r w:rsidR="00905797">
        <w:rPr>
          <w:rFonts w:eastAsia="Calibri"/>
        </w:rPr>
        <w:t xml:space="preserve">ublicar </w:t>
      </w:r>
      <w:r w:rsidR="00905797">
        <w:t>el listado definitivo de solicitudes admitidas y excluidas a trámite tal como consta en el Anexo I.</w:t>
      </w:r>
    </w:p>
    <w:p w14:paraId="2D43438A" w14:textId="77777777" w:rsidR="001F46AB" w:rsidRDefault="001F46AB">
      <w:pPr>
        <w:spacing w:after="0"/>
        <w:ind w:right="-284"/>
        <w:jc w:val="both"/>
        <w:rPr>
          <w:rFonts w:eastAsia="Calibri"/>
        </w:rPr>
      </w:pPr>
    </w:p>
    <w:p w14:paraId="0882C892" w14:textId="77777777" w:rsidR="001F46AB" w:rsidRDefault="00905797">
      <w:pPr>
        <w:spacing w:after="0"/>
        <w:ind w:right="-284"/>
        <w:jc w:val="both"/>
        <w:rPr>
          <w:rFonts w:eastAsia="Calibri"/>
        </w:rPr>
      </w:pPr>
      <w:r>
        <w:rPr>
          <w:rFonts w:eastAsia="Calibri"/>
        </w:rPr>
        <w:t xml:space="preserve">Contra la presente resolución que agota la vía administrativa, se podrá interponer potestativamente recurso de alzada ante el Sr. Rector Magnífico en el plazo de un mes a contar desde la fecha de publicación o interponer recurso contencioso-administrativo ante el Juzgado de lo Contencioso-Administrativo de Elche, en el plazo de dos meses a contar desde la fecha de la publicación, sin perjuicio de que se pueda interponer cualquier otro que estime oportuno, de acuerdo con lo dispuesto en el art. 123 de la Ley 39/2015, de 1 de octubre, del Procedimiento Administrativo Común de las Administraciones Públicas (BOE 2 de octubre de 2015) y el art. 46.1 de la Ley Reguladora de la Jurisdicción Contencioso Administrativa de 13 de julio de 1998 (BOE 14 de julio de 1998). </w:t>
      </w:r>
    </w:p>
    <w:p w14:paraId="1C554ECD" w14:textId="77777777" w:rsidR="001F46AB" w:rsidRDefault="001F46AB">
      <w:pPr>
        <w:spacing w:after="0"/>
        <w:ind w:right="-284"/>
        <w:jc w:val="both"/>
        <w:rPr>
          <w:rFonts w:eastAsia="Calibri"/>
        </w:rPr>
      </w:pPr>
    </w:p>
    <w:p w14:paraId="0FBCC613" w14:textId="77777777" w:rsidR="001F46AB" w:rsidRDefault="00905797">
      <w:pPr>
        <w:spacing w:after="0"/>
        <w:ind w:right="-284"/>
        <w:jc w:val="both"/>
        <w:rPr>
          <w:rFonts w:eastAsia="Calibri"/>
        </w:rPr>
      </w:pPr>
      <w:r>
        <w:rPr>
          <w:rFonts w:eastAsia="Calibri"/>
        </w:rPr>
        <w:t>En el caso de interponer el recurso potestativo de reposición, no se podrá interponer recurso contencioso-administrativo hasta que sea resuelto expresamente o se haya producido la desestimación presunta del recurso de reposición interpuesto.</w:t>
      </w:r>
    </w:p>
    <w:p w14:paraId="580771D6" w14:textId="77777777" w:rsidR="001F46AB" w:rsidRDefault="001F46AB">
      <w:pPr>
        <w:spacing w:after="0"/>
        <w:ind w:right="-284"/>
        <w:jc w:val="both"/>
      </w:pPr>
    </w:p>
    <w:p w14:paraId="30A6FBA8" w14:textId="77777777" w:rsidR="001F46AB" w:rsidRDefault="001F46AB">
      <w:pPr>
        <w:spacing w:after="0" w:line="240" w:lineRule="auto"/>
        <w:jc w:val="both"/>
      </w:pPr>
    </w:p>
    <w:p w14:paraId="11111880" w14:textId="77777777" w:rsidR="001F46AB" w:rsidRDefault="00905797">
      <w:pPr>
        <w:spacing w:after="160" w:line="259" w:lineRule="auto"/>
        <w:jc w:val="center"/>
        <w:rPr>
          <w:color w:val="FF0000"/>
        </w:rPr>
      </w:pPr>
      <w:r>
        <w:t xml:space="preserve">EL </w:t>
      </w:r>
      <w:r>
        <w:rPr>
          <w:color w:val="FF0000"/>
        </w:rPr>
        <w:t>(ÓRGANO RESPONSABLE)</w:t>
      </w:r>
    </w:p>
    <w:p w14:paraId="57E5B061" w14:textId="77777777" w:rsidR="001F46AB" w:rsidRDefault="00905797">
      <w:pPr>
        <w:spacing w:after="0" w:line="240" w:lineRule="auto"/>
        <w:jc w:val="center"/>
      </w:pPr>
      <w:r>
        <w:t>Firmado electrónicamente por:</w:t>
      </w:r>
    </w:p>
    <w:p w14:paraId="21AC56D3" w14:textId="77777777" w:rsidR="001F46AB" w:rsidRDefault="001F46AB">
      <w:pPr>
        <w:spacing w:after="0" w:line="240" w:lineRule="auto"/>
        <w:jc w:val="center"/>
        <w:rPr>
          <w:rFonts w:eastAsia="Calibri"/>
        </w:rPr>
      </w:pPr>
    </w:p>
    <w:p w14:paraId="6B8BB178" w14:textId="77777777" w:rsidR="001F46AB" w:rsidRDefault="001F46AB">
      <w:pPr>
        <w:rPr>
          <w:highlight w:val="yellow"/>
        </w:rPr>
      </w:pPr>
    </w:p>
    <w:p w14:paraId="69243A1C" w14:textId="77777777" w:rsidR="001F46AB" w:rsidRDefault="001F46AB">
      <w:pPr>
        <w:rPr>
          <w:highlight w:val="yellow"/>
        </w:rPr>
      </w:pPr>
    </w:p>
    <w:p w14:paraId="2DD62535" w14:textId="77777777" w:rsidR="001F46AB" w:rsidRDefault="001F46AB">
      <w:pPr>
        <w:rPr>
          <w:highlight w:val="yellow"/>
        </w:rPr>
      </w:pPr>
    </w:p>
    <w:p w14:paraId="0B5E1E5A" w14:textId="77777777" w:rsidR="001F46AB" w:rsidRDefault="001F46AB">
      <w:pPr>
        <w:rPr>
          <w:highlight w:val="yellow"/>
        </w:rPr>
      </w:pPr>
    </w:p>
    <w:p w14:paraId="34BF09BC" w14:textId="77777777" w:rsidR="001F46AB" w:rsidRDefault="001F46AB">
      <w:pPr>
        <w:rPr>
          <w:highlight w:val="yellow"/>
        </w:rPr>
      </w:pPr>
    </w:p>
    <w:p w14:paraId="1FE53D20" w14:textId="77777777" w:rsidR="001F46AB" w:rsidRDefault="001F46AB">
      <w:pPr>
        <w:rPr>
          <w:highlight w:val="yellow"/>
        </w:rPr>
      </w:pPr>
    </w:p>
    <w:p w14:paraId="3866C792" w14:textId="77777777" w:rsidR="001F46AB" w:rsidRDefault="001F46AB">
      <w:pPr>
        <w:rPr>
          <w:highlight w:val="yellow"/>
        </w:rPr>
      </w:pPr>
    </w:p>
    <w:p w14:paraId="5A0308CD" w14:textId="77777777" w:rsidR="001F46AB" w:rsidRDefault="001F46AB">
      <w:pPr>
        <w:rPr>
          <w:highlight w:val="yellow"/>
        </w:rPr>
      </w:pPr>
    </w:p>
    <w:p w14:paraId="4175755E" w14:textId="77777777" w:rsidR="001F46AB" w:rsidRDefault="001F46AB">
      <w:pPr>
        <w:rPr>
          <w:highlight w:val="yellow"/>
        </w:rPr>
      </w:pPr>
    </w:p>
    <w:p w14:paraId="52246945" w14:textId="77777777" w:rsidR="001F46AB" w:rsidRDefault="001F46AB">
      <w:pPr>
        <w:rPr>
          <w:highlight w:val="yellow"/>
        </w:rPr>
      </w:pPr>
    </w:p>
    <w:p w14:paraId="59E758E7" w14:textId="77777777" w:rsidR="001F46AB" w:rsidRDefault="001F46AB">
      <w:pPr>
        <w:rPr>
          <w:highlight w:val="yellow"/>
        </w:rPr>
      </w:pPr>
    </w:p>
    <w:p w14:paraId="1B4A71C8" w14:textId="77777777" w:rsidR="001F46AB" w:rsidRDefault="00905797">
      <w:pPr>
        <w:jc w:val="center"/>
        <w:rPr>
          <w:rFonts w:eastAsia="Calibri"/>
          <w:b/>
        </w:rPr>
      </w:pPr>
      <w:r>
        <w:rPr>
          <w:rFonts w:eastAsia="Calibri"/>
          <w:b/>
        </w:rPr>
        <w:t>ANEXO I: LISTADO DEFINITIVO DE SOLICITUDES ADMITIDAS Y EXCLUIDAS A TRÁMITE</w:t>
      </w:r>
    </w:p>
    <w:p w14:paraId="11FBD3A9" w14:textId="77777777" w:rsidR="001F46AB" w:rsidRDefault="00905797">
      <w:pPr>
        <w:spacing w:after="0" w:line="240" w:lineRule="auto"/>
        <w:jc w:val="center"/>
        <w:rPr>
          <w:rFonts w:eastAsia="Calibri"/>
          <w:b/>
        </w:rPr>
      </w:pPr>
      <w:r>
        <w:rPr>
          <w:rFonts w:eastAsia="Calibri"/>
          <w:b/>
        </w:rPr>
        <w:t>Solicitudes admitidas definitivamente:</w:t>
      </w:r>
    </w:p>
    <w:tbl>
      <w:tblPr>
        <w:tblStyle w:val="a1"/>
        <w:tblW w:w="9072" w:type="dxa"/>
        <w:jc w:val="center"/>
        <w:tblInd w:w="0" w:type="dxa"/>
        <w:tblLayout w:type="fixed"/>
        <w:tblLook w:val="0400" w:firstRow="0" w:lastRow="0" w:firstColumn="0" w:lastColumn="0" w:noHBand="0" w:noVBand="1"/>
      </w:tblPr>
      <w:tblGrid>
        <w:gridCol w:w="3983"/>
        <w:gridCol w:w="5089"/>
      </w:tblGrid>
      <w:tr w:rsidR="001F46AB" w14:paraId="1747510C" w14:textId="77777777">
        <w:trPr>
          <w:trHeight w:val="78"/>
          <w:jc w:val="center"/>
        </w:trPr>
        <w:tc>
          <w:tcPr>
            <w:tcW w:w="398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4F3B13F" w14:textId="77777777" w:rsidR="001F46AB" w:rsidRDefault="00905797">
            <w:pPr>
              <w:spacing w:after="0" w:line="240" w:lineRule="auto"/>
              <w:jc w:val="center"/>
              <w:rPr>
                <w:rFonts w:eastAsia="Calibri"/>
                <w:b/>
                <w:color w:val="000000"/>
              </w:rPr>
            </w:pPr>
            <w:r>
              <w:rPr>
                <w:rFonts w:eastAsia="Calibri"/>
                <w:b/>
                <w:color w:val="000000"/>
              </w:rPr>
              <w:t>DNI</w:t>
            </w:r>
          </w:p>
        </w:tc>
        <w:tc>
          <w:tcPr>
            <w:tcW w:w="5089" w:type="dxa"/>
            <w:tcBorders>
              <w:top w:val="single" w:sz="4" w:space="0" w:color="000000"/>
              <w:left w:val="nil"/>
              <w:bottom w:val="single" w:sz="4" w:space="0" w:color="000000"/>
              <w:right w:val="single" w:sz="4" w:space="0" w:color="000000"/>
            </w:tcBorders>
            <w:shd w:val="clear" w:color="auto" w:fill="BFBFBF"/>
            <w:vAlign w:val="bottom"/>
          </w:tcPr>
          <w:p w14:paraId="13E36FDE" w14:textId="77777777" w:rsidR="001F46AB" w:rsidRDefault="00905797">
            <w:pPr>
              <w:spacing w:after="0" w:line="240" w:lineRule="auto"/>
              <w:jc w:val="center"/>
              <w:rPr>
                <w:rFonts w:eastAsia="Calibri"/>
                <w:b/>
                <w:color w:val="000000"/>
              </w:rPr>
            </w:pPr>
            <w:r>
              <w:rPr>
                <w:rFonts w:eastAsia="Calibri"/>
                <w:b/>
                <w:color w:val="000000"/>
              </w:rPr>
              <w:t>APELLIDOS, NOMBRE</w:t>
            </w:r>
          </w:p>
        </w:tc>
      </w:tr>
      <w:tr w:rsidR="001F46AB" w14:paraId="6D2F733E" w14:textId="77777777">
        <w:trPr>
          <w:trHeight w:val="109"/>
          <w:jc w:val="center"/>
        </w:trPr>
        <w:tc>
          <w:tcPr>
            <w:tcW w:w="3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CF215" w14:textId="77777777" w:rsidR="001F46AB" w:rsidRDefault="001F46AB">
            <w:pPr>
              <w:spacing w:after="0" w:line="240" w:lineRule="auto"/>
              <w:jc w:val="center"/>
              <w:rPr>
                <w:rFonts w:eastAsia="Calibri"/>
                <w:color w:val="000000"/>
              </w:rPr>
            </w:pPr>
          </w:p>
        </w:tc>
        <w:tc>
          <w:tcPr>
            <w:tcW w:w="5089" w:type="dxa"/>
            <w:tcBorders>
              <w:top w:val="single" w:sz="4" w:space="0" w:color="000000"/>
              <w:left w:val="nil"/>
              <w:bottom w:val="single" w:sz="4" w:space="0" w:color="000000"/>
              <w:right w:val="single" w:sz="4" w:space="0" w:color="000000"/>
            </w:tcBorders>
            <w:shd w:val="clear" w:color="auto" w:fill="auto"/>
            <w:vAlign w:val="bottom"/>
          </w:tcPr>
          <w:p w14:paraId="73DFD65C" w14:textId="77777777" w:rsidR="001F46AB" w:rsidRDefault="001F46AB">
            <w:pPr>
              <w:spacing w:after="0" w:line="240" w:lineRule="auto"/>
              <w:jc w:val="center"/>
              <w:rPr>
                <w:rFonts w:eastAsia="Calibri"/>
                <w:color w:val="000000"/>
              </w:rPr>
            </w:pPr>
          </w:p>
        </w:tc>
      </w:tr>
      <w:tr w:rsidR="001F46AB" w14:paraId="5023F455" w14:textId="77777777">
        <w:trPr>
          <w:trHeight w:val="283"/>
          <w:jc w:val="center"/>
        </w:trPr>
        <w:tc>
          <w:tcPr>
            <w:tcW w:w="3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4FA0C" w14:textId="77777777" w:rsidR="001F46AB" w:rsidRDefault="001F46AB">
            <w:pPr>
              <w:spacing w:after="0" w:line="240" w:lineRule="auto"/>
              <w:jc w:val="center"/>
              <w:rPr>
                <w:rFonts w:eastAsia="Calibri"/>
                <w:color w:val="000000"/>
              </w:rPr>
            </w:pPr>
          </w:p>
        </w:tc>
        <w:tc>
          <w:tcPr>
            <w:tcW w:w="5089" w:type="dxa"/>
            <w:tcBorders>
              <w:top w:val="single" w:sz="4" w:space="0" w:color="000000"/>
              <w:left w:val="nil"/>
              <w:bottom w:val="single" w:sz="4" w:space="0" w:color="000000"/>
              <w:right w:val="single" w:sz="4" w:space="0" w:color="000000"/>
            </w:tcBorders>
            <w:shd w:val="clear" w:color="auto" w:fill="auto"/>
            <w:vAlign w:val="bottom"/>
          </w:tcPr>
          <w:p w14:paraId="4CD9872F" w14:textId="77777777" w:rsidR="001F46AB" w:rsidRDefault="001F46AB">
            <w:pPr>
              <w:spacing w:after="0" w:line="240" w:lineRule="auto"/>
              <w:jc w:val="center"/>
              <w:rPr>
                <w:rFonts w:eastAsia="Calibri"/>
                <w:color w:val="000000"/>
              </w:rPr>
            </w:pPr>
          </w:p>
        </w:tc>
      </w:tr>
    </w:tbl>
    <w:p w14:paraId="0E614E0E" w14:textId="77777777" w:rsidR="001F46AB" w:rsidRDefault="001F46AB">
      <w:pPr>
        <w:spacing w:after="0" w:line="240" w:lineRule="auto"/>
        <w:jc w:val="center"/>
        <w:rPr>
          <w:rFonts w:eastAsia="Calibri"/>
          <w:b/>
        </w:rPr>
      </w:pPr>
    </w:p>
    <w:p w14:paraId="45FC1526" w14:textId="77777777" w:rsidR="001F46AB" w:rsidRDefault="001F46AB">
      <w:pPr>
        <w:spacing w:after="0" w:line="240" w:lineRule="auto"/>
        <w:jc w:val="center"/>
        <w:rPr>
          <w:rFonts w:eastAsia="Calibri"/>
          <w:b/>
        </w:rPr>
      </w:pPr>
    </w:p>
    <w:p w14:paraId="72C43722" w14:textId="77777777" w:rsidR="001F46AB" w:rsidRDefault="00905797">
      <w:pPr>
        <w:spacing w:after="0" w:line="240" w:lineRule="auto"/>
        <w:jc w:val="center"/>
        <w:rPr>
          <w:rFonts w:eastAsia="Calibri"/>
          <w:b/>
        </w:rPr>
      </w:pPr>
      <w:r>
        <w:rPr>
          <w:rFonts w:eastAsia="Calibri"/>
          <w:b/>
        </w:rPr>
        <w:t>Solicitudes excluidas definitivamente:</w:t>
      </w:r>
    </w:p>
    <w:tbl>
      <w:tblPr>
        <w:tblStyle w:val="a2"/>
        <w:tblW w:w="9072" w:type="dxa"/>
        <w:jc w:val="center"/>
        <w:tblInd w:w="0" w:type="dxa"/>
        <w:tblLayout w:type="fixed"/>
        <w:tblLook w:val="0400" w:firstRow="0" w:lastRow="0" w:firstColumn="0" w:lastColumn="0" w:noHBand="0" w:noVBand="1"/>
      </w:tblPr>
      <w:tblGrid>
        <w:gridCol w:w="1418"/>
        <w:gridCol w:w="3402"/>
        <w:gridCol w:w="4252"/>
      </w:tblGrid>
      <w:tr w:rsidR="001F46AB" w14:paraId="1C189FB8" w14:textId="77777777">
        <w:trPr>
          <w:trHeight w:val="9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C83F581" w14:textId="77777777" w:rsidR="001F46AB" w:rsidRDefault="00905797">
            <w:pPr>
              <w:spacing w:after="0" w:line="240" w:lineRule="auto"/>
              <w:jc w:val="center"/>
              <w:rPr>
                <w:rFonts w:eastAsia="Calibri"/>
                <w:b/>
                <w:color w:val="000000"/>
              </w:rPr>
            </w:pPr>
            <w:r>
              <w:rPr>
                <w:rFonts w:eastAsia="Calibri"/>
                <w:b/>
                <w:color w:val="000000"/>
              </w:rPr>
              <w:t>DNI</w:t>
            </w:r>
          </w:p>
        </w:tc>
        <w:tc>
          <w:tcPr>
            <w:tcW w:w="3402" w:type="dxa"/>
            <w:tcBorders>
              <w:top w:val="single" w:sz="4" w:space="0" w:color="000000"/>
              <w:left w:val="nil"/>
              <w:bottom w:val="single" w:sz="4" w:space="0" w:color="000000"/>
              <w:right w:val="single" w:sz="4" w:space="0" w:color="000000"/>
            </w:tcBorders>
            <w:shd w:val="clear" w:color="auto" w:fill="BFBFBF"/>
            <w:vAlign w:val="bottom"/>
          </w:tcPr>
          <w:p w14:paraId="1D6E5445" w14:textId="77777777" w:rsidR="001F46AB" w:rsidRDefault="00905797">
            <w:pPr>
              <w:spacing w:after="0" w:line="240" w:lineRule="auto"/>
              <w:jc w:val="center"/>
              <w:rPr>
                <w:rFonts w:eastAsia="Calibri"/>
                <w:b/>
                <w:color w:val="000000"/>
              </w:rPr>
            </w:pPr>
            <w:r>
              <w:rPr>
                <w:rFonts w:eastAsia="Calibri"/>
                <w:b/>
                <w:color w:val="000000"/>
              </w:rPr>
              <w:t>APELLIDOS, NOMBRE</w:t>
            </w:r>
          </w:p>
        </w:tc>
        <w:tc>
          <w:tcPr>
            <w:tcW w:w="4252" w:type="dxa"/>
            <w:tcBorders>
              <w:top w:val="single" w:sz="4" w:space="0" w:color="000000"/>
              <w:left w:val="nil"/>
              <w:bottom w:val="single" w:sz="4" w:space="0" w:color="000000"/>
              <w:right w:val="single" w:sz="4" w:space="0" w:color="000000"/>
            </w:tcBorders>
            <w:shd w:val="clear" w:color="auto" w:fill="BFBFBF"/>
          </w:tcPr>
          <w:p w14:paraId="2CA39F07" w14:textId="77777777" w:rsidR="001F46AB" w:rsidRDefault="00905797">
            <w:pPr>
              <w:spacing w:after="0" w:line="240" w:lineRule="auto"/>
              <w:jc w:val="center"/>
              <w:rPr>
                <w:rFonts w:eastAsia="Calibri"/>
                <w:b/>
                <w:color w:val="000000"/>
              </w:rPr>
            </w:pPr>
            <w:r>
              <w:rPr>
                <w:rFonts w:eastAsia="Calibri"/>
                <w:b/>
                <w:color w:val="000000"/>
              </w:rPr>
              <w:t>MOTIVOS EXCLUSIÓN</w:t>
            </w:r>
          </w:p>
        </w:tc>
      </w:tr>
      <w:tr w:rsidR="001F46AB" w14:paraId="32D07F1B" w14:textId="77777777">
        <w:trPr>
          <w:trHeight w:val="11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416F4" w14:textId="77777777" w:rsidR="001F46AB" w:rsidRDefault="001F46AB">
            <w:pPr>
              <w:spacing w:after="0" w:line="240" w:lineRule="auto"/>
              <w:jc w:val="center"/>
              <w:rPr>
                <w:rFonts w:eastAsia="Calibri"/>
                <w:color w:val="000000"/>
              </w:rPr>
            </w:pPr>
          </w:p>
        </w:tc>
        <w:tc>
          <w:tcPr>
            <w:tcW w:w="3402" w:type="dxa"/>
            <w:tcBorders>
              <w:top w:val="single" w:sz="4" w:space="0" w:color="000000"/>
              <w:left w:val="nil"/>
              <w:bottom w:val="single" w:sz="4" w:space="0" w:color="000000"/>
              <w:right w:val="single" w:sz="4" w:space="0" w:color="000000"/>
            </w:tcBorders>
            <w:shd w:val="clear" w:color="auto" w:fill="auto"/>
            <w:vAlign w:val="bottom"/>
          </w:tcPr>
          <w:p w14:paraId="52E188EC" w14:textId="77777777" w:rsidR="001F46AB" w:rsidRDefault="001F46AB">
            <w:pPr>
              <w:spacing w:after="0" w:line="240" w:lineRule="auto"/>
              <w:jc w:val="center"/>
              <w:rPr>
                <w:rFonts w:eastAsia="Calibri"/>
                <w:color w:val="000000"/>
              </w:rPr>
            </w:pPr>
          </w:p>
        </w:tc>
        <w:tc>
          <w:tcPr>
            <w:tcW w:w="4252" w:type="dxa"/>
            <w:tcBorders>
              <w:top w:val="single" w:sz="4" w:space="0" w:color="000000"/>
              <w:left w:val="nil"/>
              <w:bottom w:val="single" w:sz="4" w:space="0" w:color="000000"/>
              <w:right w:val="single" w:sz="4" w:space="0" w:color="000000"/>
            </w:tcBorders>
          </w:tcPr>
          <w:p w14:paraId="314EB05C" w14:textId="77777777" w:rsidR="001F46AB" w:rsidRDefault="001F46AB">
            <w:pPr>
              <w:spacing w:after="0" w:line="240" w:lineRule="auto"/>
              <w:jc w:val="center"/>
              <w:rPr>
                <w:rFonts w:eastAsia="Calibri"/>
                <w:color w:val="000000"/>
              </w:rPr>
            </w:pPr>
          </w:p>
        </w:tc>
      </w:tr>
      <w:tr w:rsidR="001F46AB" w14:paraId="62BA2F23" w14:textId="77777777">
        <w:trPr>
          <w:trHeight w:val="14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905CE" w14:textId="77777777" w:rsidR="001F46AB" w:rsidRDefault="001F46AB">
            <w:pPr>
              <w:spacing w:after="0" w:line="240" w:lineRule="auto"/>
              <w:jc w:val="center"/>
              <w:rPr>
                <w:rFonts w:eastAsia="Calibri"/>
                <w:color w:val="000000"/>
              </w:rPr>
            </w:pPr>
          </w:p>
        </w:tc>
        <w:tc>
          <w:tcPr>
            <w:tcW w:w="3402" w:type="dxa"/>
            <w:tcBorders>
              <w:top w:val="single" w:sz="4" w:space="0" w:color="000000"/>
              <w:left w:val="nil"/>
              <w:bottom w:val="single" w:sz="4" w:space="0" w:color="000000"/>
              <w:right w:val="single" w:sz="4" w:space="0" w:color="000000"/>
            </w:tcBorders>
            <w:shd w:val="clear" w:color="auto" w:fill="auto"/>
            <w:vAlign w:val="bottom"/>
          </w:tcPr>
          <w:p w14:paraId="06505EE5" w14:textId="77777777" w:rsidR="001F46AB" w:rsidRDefault="001F46AB">
            <w:pPr>
              <w:spacing w:after="0" w:line="240" w:lineRule="auto"/>
              <w:jc w:val="center"/>
              <w:rPr>
                <w:rFonts w:eastAsia="Calibri"/>
                <w:color w:val="000000"/>
              </w:rPr>
            </w:pPr>
          </w:p>
        </w:tc>
        <w:tc>
          <w:tcPr>
            <w:tcW w:w="4252" w:type="dxa"/>
            <w:tcBorders>
              <w:top w:val="single" w:sz="4" w:space="0" w:color="000000"/>
              <w:left w:val="nil"/>
              <w:bottom w:val="single" w:sz="4" w:space="0" w:color="000000"/>
              <w:right w:val="single" w:sz="4" w:space="0" w:color="000000"/>
            </w:tcBorders>
          </w:tcPr>
          <w:p w14:paraId="54552D5D" w14:textId="77777777" w:rsidR="001F46AB" w:rsidRDefault="001F46AB">
            <w:pPr>
              <w:spacing w:after="0" w:line="240" w:lineRule="auto"/>
              <w:jc w:val="center"/>
              <w:rPr>
                <w:rFonts w:eastAsia="Calibri"/>
                <w:color w:val="000000"/>
              </w:rPr>
            </w:pPr>
          </w:p>
        </w:tc>
      </w:tr>
    </w:tbl>
    <w:p w14:paraId="1BAF3034" w14:textId="77777777" w:rsidR="001F46AB" w:rsidRDefault="001F46AB">
      <w:pPr>
        <w:spacing w:after="0" w:line="240" w:lineRule="auto"/>
        <w:ind w:right="-284"/>
        <w:jc w:val="both"/>
        <w:rPr>
          <w:rFonts w:eastAsia="Calibri"/>
          <w:i/>
        </w:rPr>
      </w:pPr>
    </w:p>
    <w:p w14:paraId="2AD8F03E" w14:textId="77777777" w:rsidR="001F46AB" w:rsidRDefault="001F46AB">
      <w:pPr>
        <w:spacing w:after="0" w:line="240" w:lineRule="auto"/>
        <w:ind w:right="-284"/>
        <w:jc w:val="both"/>
      </w:pPr>
    </w:p>
    <w:sectPr w:rsidR="001F46AB">
      <w:headerReference w:type="default" r:id="rId7"/>
      <w:pgSz w:w="11906" w:h="16838"/>
      <w:pgMar w:top="568" w:right="1701" w:bottom="426"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1CE3" w14:textId="77777777" w:rsidR="00EC2AAC" w:rsidRDefault="00EC2AAC">
      <w:pPr>
        <w:spacing w:after="0" w:line="240" w:lineRule="auto"/>
      </w:pPr>
      <w:r>
        <w:separator/>
      </w:r>
    </w:p>
  </w:endnote>
  <w:endnote w:type="continuationSeparator" w:id="0">
    <w:p w14:paraId="1B5B1AB3" w14:textId="77777777" w:rsidR="00EC2AAC" w:rsidRDefault="00EC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B333" w14:textId="77777777" w:rsidR="00EC2AAC" w:rsidRDefault="00EC2AAC">
      <w:pPr>
        <w:spacing w:after="0" w:line="240" w:lineRule="auto"/>
      </w:pPr>
      <w:r>
        <w:separator/>
      </w:r>
    </w:p>
  </w:footnote>
  <w:footnote w:type="continuationSeparator" w:id="0">
    <w:p w14:paraId="672E2A55" w14:textId="77777777" w:rsidR="00EC2AAC" w:rsidRDefault="00EC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075" w14:textId="77777777" w:rsidR="001F46AB" w:rsidRDefault="00905797">
    <w:pPr>
      <w:spacing w:after="160" w:line="259" w:lineRule="auto"/>
      <w:jc w:val="center"/>
    </w:pPr>
    <w:r>
      <w:rPr>
        <w:noProof/>
      </w:rPr>
      <w:drawing>
        <wp:inline distT="114300" distB="114300" distL="114300" distR="114300" wp14:anchorId="4AABD6A7" wp14:editId="3D5698D0">
          <wp:extent cx="934875" cy="8531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4875" cy="85318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AB"/>
    <w:rsid w:val="001521A0"/>
    <w:rsid w:val="001F46AB"/>
    <w:rsid w:val="008443D5"/>
    <w:rsid w:val="00905797"/>
    <w:rsid w:val="00AA6248"/>
    <w:rsid w:val="00BD0403"/>
    <w:rsid w:val="00EC2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8B42"/>
  <w15:docId w15:val="{A6298949-9BAC-4EA7-AFE5-9792902F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3E"/>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82673E"/>
    <w:rPr>
      <w:sz w:val="16"/>
      <w:szCs w:val="16"/>
    </w:rPr>
  </w:style>
  <w:style w:type="paragraph" w:styleId="Textocomentario">
    <w:name w:val="annotation text"/>
    <w:basedOn w:val="Normal"/>
    <w:link w:val="TextocomentarioCar"/>
    <w:uiPriority w:val="99"/>
    <w:semiHidden/>
    <w:unhideWhenUsed/>
    <w:rsid w:val="0082673E"/>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82673E"/>
    <w:rPr>
      <w:sz w:val="20"/>
      <w:szCs w:val="20"/>
    </w:rPr>
  </w:style>
  <w:style w:type="paragraph" w:styleId="Textodeglobo">
    <w:name w:val="Balloon Text"/>
    <w:basedOn w:val="Normal"/>
    <w:link w:val="TextodegloboCar"/>
    <w:uiPriority w:val="99"/>
    <w:semiHidden/>
    <w:unhideWhenUsed/>
    <w:rsid w:val="00826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73E"/>
    <w:rPr>
      <w:rFonts w:ascii="Segoe UI" w:eastAsiaTheme="minorEastAsia" w:hAnsi="Segoe UI" w:cs="Segoe UI"/>
      <w:sz w:val="18"/>
      <w:szCs w:val="18"/>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otf5JH/AQ8fbh52/QcaOQcQxag==">AMUW2mW3SaFflozP/y6QLdd3SSlrTAYWPK0hQoXbGZ7ti05AxalzT3U4ITAiNYzajOCQu/FsVyXDKl/Dnaj/vdqlTIRkePWLDXrxL4LLRyCTb4FkQ3w2ud4=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Marquina Gonzalez, Raquel</dc:creator>
  <cp:lastModifiedBy>Martinez Gomez, Maria Josefa</cp:lastModifiedBy>
  <cp:revision>2</cp:revision>
  <dcterms:created xsi:type="dcterms:W3CDTF">2024-03-08T13:29:00Z</dcterms:created>
  <dcterms:modified xsi:type="dcterms:W3CDTF">2024-03-08T13:29:00Z</dcterms:modified>
</cp:coreProperties>
</file>